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A" w:rsidRDefault="001E05A4">
      <w:r>
        <w:rPr>
          <w:rFonts w:ascii="Arial" w:hAnsi="Arial" w:cs="Arial"/>
          <w:color w:val="000000"/>
          <w:sz w:val="27"/>
          <w:szCs w:val="27"/>
        </w:rPr>
        <w:t xml:space="preserve">Общие технические условия» (далее – ГОСТ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55292 2012) - напитки, изготавливаемые на основе пива (пивные напитки) - алкогольная продукция с содержанием этилового спирта, образовавшегося в процессе брожения пивного сусла, не более 7 процентов объема готовой продукции, которая произведена из пива (не менее 40 процентов объема готовой продукции) и (или) приготовленного из пивоваренного солода пивного сусла (не менее 40 процентов массы сырья), воды с добавлением или без добавления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зернопродуктов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сахаросодержащих продуктов, хмеля и (или)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хмелепродуктов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плодового и иного растительного сырья, продуктов их переработки, ароматических и вкусовых добавок, без добавления этилового спирта.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 настоящее время широкое распространение на алкогольном рынке получили фальсифицированные пивные напитки, которые производятся не на основе пива, как того требуют вышеуказанные законодательные акты, а путем смешивания воды,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ароматизаторов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красителей с добавлением этилового спирта. В результате получается готовый продукт,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сути является слабоалкогольной продукцией.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На основании информации, полученной из Межрегионального управления Федеральной службы по регулированию алкогольного рынка по Сибирскому федеральному округу,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Росалкогольрегулированием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выявлены организации: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ООО «Вкусная идея» (ИНН 7720416380), ООО «ШЕЛТОН» (ИНН 7720427529), ООО «Астра» (ИНН 6225010601), ООО «Феникс» (ИНН 7714974160),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Дельмари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(ИНН 7714993773),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Ольмека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(ИНН 9729075561),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Ларедо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(ИНН 7736286591), ООО «БИЗНЕСТРЕЙД»  (ИНН 7734400012),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(ИНН 7736295204), ООО «Высота» (ИНН 7743227364), ООО «Напитки Запада» (ИНН 7725349200), ООО «Компания Крикс» (ИНН 7733314882) зафиксировавшие в 2017 и 2018 годах в ЕГАИС сведения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 производстве пивных напитков, без фиксации в ЕГАИС сведений о закупке пива и сведений о производстве собственного пива, используемого в качестве сырья при производстве пивных напитков. Информации о поставках пива в адрес указанных организаций ЕГАИС тоже не содержит.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 ходе проведенных контрольных мероприятий по результатам экспертиз, было установлено, что пивные напитки, произведенные перечисленными производителями, признаны не соответствующими требованиям ГОСТ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55292-2012 «Напитки пивные. Общие технические условия» (далее – ГОСТ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55292</w:t>
      </w:r>
      <w:r>
        <w:rPr>
          <w:rFonts w:ascii="Arial" w:hAnsi="Arial" w:cs="Arial"/>
          <w:color w:val="000000"/>
          <w:sz w:val="27"/>
          <w:szCs w:val="27"/>
        </w:rPr>
        <w:noBreakHyphen/>
        <w:t>2012) по органолептическим показателям (цвету, вкусу, аромату), по пенообразующим свойствам, по объемной доле этилового спирта (крепость). Данную продукцию предположительно можно отнести к спиртным напиткам.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Наиболее распространенными брендами являются «БЛЕЙЗЕР», «МАРТИ РЭЙ», «КЕГЛЯ» и др.</w:t>
      </w:r>
      <w:r>
        <w:rPr>
          <w:rFonts w:ascii="Arial" w:hAnsi="Arial" w:cs="Arial"/>
          <w:color w:val="000000"/>
          <w:sz w:val="27"/>
          <w:szCs w:val="27"/>
        </w:rPr>
        <w:br/>
        <w:t>На основании изложенного, просим Вас приостановить реализацию фальсифицированных пивных напитков вышеуказанных производителей.</w:t>
      </w:r>
      <w:r>
        <w:rPr>
          <w:rFonts w:ascii="Arial" w:hAnsi="Arial" w:cs="Arial"/>
          <w:color w:val="000000"/>
          <w:sz w:val="27"/>
          <w:szCs w:val="27"/>
        </w:rPr>
        <w:br/>
        <w:t>Ответственность за оборот нелегальной алкогольной  продукции несет собственник товара.</w:t>
      </w:r>
    </w:p>
    <w:sectPr w:rsidR="00202F3A" w:rsidSect="0020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5A4"/>
    <w:rsid w:val="001E05A4"/>
    <w:rsid w:val="0020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2022-06-15T03:35:00Z</dcterms:created>
  <dcterms:modified xsi:type="dcterms:W3CDTF">2022-06-15T03:36:00Z</dcterms:modified>
</cp:coreProperties>
</file>