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C8" w:rsidRPr="00D906C8" w:rsidRDefault="00D906C8" w:rsidP="00D906C8">
      <w:pPr>
        <w:spacing w:before="375"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D906C8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Как платить налог на доход по вкладам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 2021 года вступ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или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 силу поправки в Налоговый кодекс, которые касаются уплаты налогов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доход по банковским счетам и вкладам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Если раньше вкладчики практически никогда не сталкивались с уплатой подоходного налога, то теперь в некоторых случаях его придется отчислять. Ожидается, что этот налог затронет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1%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вкладчиков.</w:t>
      </w:r>
    </w:p>
    <w:p w:rsidR="00D906C8" w:rsidRPr="00D906C8" w:rsidRDefault="00D906C8" w:rsidP="00D906C8">
      <w:pPr>
        <w:shd w:val="clear" w:color="auto" w:fill="FFFFFF"/>
        <w:spacing w:before="585" w:after="285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меняется с 2021 года?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Начиная с 2021 года Федеральная налоговая служба (ФНС) будет учитывать доход каждого вкладчика по всем его депозитам. Люди, у которых сумма процентов по вкладам за год превысит определенный лимит, должны будут заплатить подоходный налог.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Лимит зависит от ключевой ставки Банка России и может меняться раз год. Его рассчитывают следующим образом: 1 млн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рублей умножают на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ставку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Банка России, действующую на 1 января того года, в котором человек получил доход.</w:t>
      </w:r>
    </w:p>
    <w:p w:rsidR="00D906C8" w:rsidRPr="00D906C8" w:rsidRDefault="00D906C8" w:rsidP="00D906C8">
      <w:pPr>
        <w:shd w:val="clear" w:color="auto" w:fill="FFFFFF"/>
        <w:spacing w:before="100" w:beforeAutospacing="1" w:after="100" w:afterAutospacing="1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</w:pPr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 xml:space="preserve">Ключевая ставка на 1 января 2021 года равна 4,25% </w:t>
      </w:r>
      <w:proofErr w:type="gramStart"/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годовых</w:t>
      </w:r>
      <w:proofErr w:type="gramEnd"/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 xml:space="preserve">. Значит, от уплаты подоходного налога по вкладам будут освобождены люди, которым в 2021 году по всем депозитам в сумме начислят не больше 42 500 рублей (1 млн. рублей </w:t>
      </w:r>
      <w:proofErr w:type="spellStart"/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х</w:t>
      </w:r>
      <w:proofErr w:type="spellEnd"/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 4,25%).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Вкладчики, которые заработают на депозитах больше, должны будут заплатить подоходный налог, но только с той суммы, которая превысит установленный лимит.</w:t>
      </w:r>
    </w:p>
    <w:p w:rsidR="00D906C8" w:rsidRPr="00D906C8" w:rsidRDefault="00D906C8" w:rsidP="00D906C8">
      <w:pPr>
        <w:shd w:val="clear" w:color="auto" w:fill="FFFFFF"/>
        <w:spacing w:before="100" w:beforeAutospacing="1" w:after="100" w:afterAutospacing="1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</w:pPr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С 2021 года ставка НДФЛ становится прогрессивной, то есть </w:t>
      </w:r>
      <w:r w:rsidRPr="00D906C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начинает зависеть от суммы доходов челове</w:t>
      </w:r>
      <w:r w:rsidRPr="00D906C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ка.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за год ваши доходы, включая проценты по депозитам, окажутся в пределах 5 млн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рублей, то, как и прежде, нужно будет перечислить в </w:t>
      </w:r>
      <w:proofErr w:type="gram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налоговую</w:t>
      </w:r>
      <w:proofErr w:type="gram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13% от своих заработков. С суммы дохода, которая превысит 5 млн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рублей, придется заплатить 15%.</w:t>
      </w:r>
    </w:p>
    <w:p w:rsidR="00D906C8" w:rsidRPr="00D906C8" w:rsidRDefault="00D906C8" w:rsidP="00D906C8">
      <w:pPr>
        <w:shd w:val="clear" w:color="auto" w:fill="FFFFFF"/>
        <w:spacing w:before="100" w:beforeAutospacing="1" w:after="100" w:afterAutospacing="1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Например, в конце 2020 года вы положили на депозит 2 млн. рублей под 4% годовых. В конце 2021 года банк начислит вам проценты по вкладу — 80 000 рублей (2 000 000 × 4%). С 42 500 рублей НДФЛ платить не нужно. Налогом обложат только сумму сверх лимита: 80 000 – 42 500 = 37 500 рублей. Предположим, вы заработали за год не больше 5 млн. рублей. Тогда ставка налога для вас останется 13%, и вы должны будете перечислить в ФНС: 37 500 × 13% = 4875 рублей.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Раньше (до конца 2020 года) ставка НДФЛ по депозитам была выше — 35%. Но налог начислялся только в том случае, когда проценты по вкладу превышали определенный уровень —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ставку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Банка России плюс 5 процентных пунктов. Но такие высокие ставки по депозитам практически никто не предлагал, поэтому с налогами на вклады мало кто сталкивался.</w:t>
      </w:r>
    </w:p>
    <w:p w:rsidR="00D906C8" w:rsidRPr="00D906C8" w:rsidRDefault="00D906C8" w:rsidP="00D906C8">
      <w:pPr>
        <w:shd w:val="clear" w:color="auto" w:fill="FFFFFF"/>
        <w:spacing w:before="585" w:after="285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вас</w:t>
      </w:r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есть не только вклад, но и </w:t>
      </w:r>
      <w:proofErr w:type="spellStart"/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зарплатный</w:t>
      </w:r>
      <w:proofErr w:type="spellEnd"/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счет в банке. Его тоже будут учитывать?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Если у вас есть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накопительный или другой счет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по которому банк начисляет вам процент на остаток денег, то доходы по этим счетам будут учитываться.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Начисления </w:t>
      </w:r>
      <w:r w:rsidRPr="00D906C8"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  <w:t>по валютным счетам и вкладам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также суммируют при расчете налога. Доход по вкладам в валюте пересчитают в рубли по официальному курсу Банка России на день выплаты процентов.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 расчете не участвуют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proofErr w:type="spellStart"/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и рублевые счета, ставка по которым не превышает 1% </w:t>
      </w:r>
      <w:proofErr w:type="gram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годовых</w:t>
      </w:r>
      <w:proofErr w:type="gram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По </w:t>
      </w:r>
      <w:proofErr w:type="spell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зарплатным</w:t>
      </w:r>
      <w:proofErr w:type="spell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счетам процент </w:t>
      </w:r>
      <w:proofErr w:type="gram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чаще всего ниже этого лимита</w:t>
      </w:r>
      <w:proofErr w:type="gram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Также не учитывается доход по обезличенным металлическим счетам, проценты на остатки на брокерских счетах и </w:t>
      </w:r>
      <w:proofErr w:type="spell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кэшбэк</w:t>
      </w:r>
      <w:proofErr w:type="spell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D906C8" w:rsidRPr="00D906C8" w:rsidRDefault="00633A78" w:rsidP="00D906C8">
      <w:pPr>
        <w:shd w:val="clear" w:color="auto" w:fill="FFFFFF"/>
        <w:spacing w:before="585" w:after="285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3A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Нужно</w:t>
      </w:r>
      <w:r w:rsidR="00D906C8"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ли подавать налоговую декларацию о доходах по вкладам?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Нет, декларацию заполнять не нужно. Банки сами направят в ФНС информацию о размере начисленных вам процентов.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ФНС просуммирует эти данные по всем депозитам вкладчика и определит, обязан ли он платить налог. Если обязан — рассчитает размер НДФЛ и вышлет налоговое уведомление. Те, кто зарегистрировался на сайте </w:t>
      </w:r>
      <w:proofErr w:type="gram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налоговой</w:t>
      </w:r>
      <w:proofErr w:type="gram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получат сообщение в </w:t>
      </w:r>
      <w:r w:rsidRPr="00633A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налогоплательщика</w:t>
      </w: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Остальным отправят письма обычной почтой.</w:t>
      </w:r>
    </w:p>
    <w:p w:rsidR="00D906C8" w:rsidRPr="00D906C8" w:rsidRDefault="00D906C8" w:rsidP="00D906C8">
      <w:pPr>
        <w:shd w:val="clear" w:color="auto" w:fill="FFFFFF"/>
        <w:spacing w:before="585" w:after="285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и как надо будет перечислить налог?</w:t>
      </w:r>
    </w:p>
    <w:p w:rsidR="00D906C8" w:rsidRPr="00D906C8" w:rsidRDefault="00D906C8" w:rsidP="00D906C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Налог на доход по вкладам за этот год нужно будет платить только в следующем году.</w:t>
      </w:r>
    </w:p>
    <w:p w:rsidR="00D906C8" w:rsidRPr="00D906C8" w:rsidRDefault="00D906C8" w:rsidP="00D906C8">
      <w:pPr>
        <w:numPr>
          <w:ilvl w:val="0"/>
          <w:numId w:val="1"/>
        </w:num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 1 февраля все банки передадут в налоговую данные по доходу своих вкладчиков за предыдущий год (в первый раз это произойдет в январе 2022 года — банки передадут информацию по выплатам за 2021 год).</w:t>
      </w:r>
    </w:p>
    <w:p w:rsidR="00D906C8" w:rsidRPr="00D906C8" w:rsidRDefault="00D906C8" w:rsidP="00D906C8">
      <w:pPr>
        <w:numPr>
          <w:ilvl w:val="0"/>
          <w:numId w:val="1"/>
        </w:num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 30 октября ФНС определит, кому полагается налог, рассчитает сумму платежа и разошлет уведомления.</w:t>
      </w:r>
    </w:p>
    <w:p w:rsidR="00D906C8" w:rsidRPr="00D906C8" w:rsidRDefault="00D906C8" w:rsidP="00D906C8">
      <w:pPr>
        <w:numPr>
          <w:ilvl w:val="0"/>
          <w:numId w:val="1"/>
        </w:num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 1 декабря нужно будет уплатить налог.</w:t>
      </w:r>
    </w:p>
    <w:p w:rsidR="00D906C8" w:rsidRDefault="00D906C8" w:rsidP="00633A7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Отправить деньги в </w:t>
      </w:r>
      <w:proofErr w:type="gramStart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налоговую</w:t>
      </w:r>
      <w:proofErr w:type="gramEnd"/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можно в отделении банка, через платежный терминал, личный кабинет на сайте банка или его мобильное приложение, личный кабинет на сайте налоговой, сервис ФНС </w:t>
      </w:r>
      <w:r w:rsidRPr="00D9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tgtFrame="_blank" w:history="1">
        <w:r w:rsidRPr="00633A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Заплати налоги</w:t>
        </w:r>
      </w:hyperlink>
      <w:r w:rsidRPr="00D906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». </w:t>
      </w:r>
    </w:p>
    <w:p w:rsidR="00633A78" w:rsidRDefault="00633A78" w:rsidP="00633A7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3A78" w:rsidRDefault="00633A78" w:rsidP="00633A78">
      <w:pPr>
        <w:shd w:val="clear" w:color="auto" w:fill="FFFFFF"/>
        <w:spacing w:before="224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</w:p>
    <w:p w:rsidR="00633A78" w:rsidRDefault="00633A78" w:rsidP="00633A78">
      <w:pPr>
        <w:shd w:val="clear" w:color="auto" w:fill="FFFFFF"/>
        <w:spacing w:before="224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</w:p>
    <w:p w:rsidR="00633A78" w:rsidRPr="0081003B" w:rsidRDefault="00633A78" w:rsidP="00633A78">
      <w:pPr>
        <w:shd w:val="clear" w:color="auto" w:fill="FFFFFF"/>
        <w:spacing w:before="224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  <w:r w:rsidRPr="0081003B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Использован материал сайта «</w:t>
      </w:r>
      <w:proofErr w:type="gramStart"/>
      <w:r w:rsidRPr="0081003B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Финансовая</w:t>
      </w:r>
      <w:proofErr w:type="gramEnd"/>
      <w:r w:rsidRPr="0081003B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 </w:t>
      </w:r>
    </w:p>
    <w:p w:rsidR="00633A78" w:rsidRPr="0081003B" w:rsidRDefault="00633A78" w:rsidP="00633A78">
      <w:pPr>
        <w:shd w:val="clear" w:color="auto" w:fill="FFFFFF"/>
        <w:spacing w:before="224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  <w:r w:rsidRPr="0081003B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культура» (</w:t>
      </w:r>
      <w:hyperlink r:id="rId6" w:history="1">
        <w:r w:rsidRPr="0081003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https://fincult.info/</w:t>
        </w:r>
      </w:hyperlink>
      <w:r w:rsidRPr="0081003B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)</w:t>
      </w:r>
    </w:p>
    <w:p w:rsidR="00633A78" w:rsidRPr="00D906C8" w:rsidRDefault="00633A78" w:rsidP="00633A78">
      <w:pPr>
        <w:shd w:val="clear" w:color="auto" w:fill="FFFFFF"/>
        <w:spacing w:before="180" w:after="300" w:line="33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B4DE5" w:rsidRDefault="005B4DE5"/>
    <w:sectPr w:rsidR="005B4DE5" w:rsidSect="00D906C8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2AD"/>
    <w:multiLevelType w:val="multilevel"/>
    <w:tmpl w:val="C94A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6C8"/>
    <w:rsid w:val="005B4DE5"/>
    <w:rsid w:val="00633A78"/>
    <w:rsid w:val="00D9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5"/>
  </w:style>
  <w:style w:type="paragraph" w:styleId="1">
    <w:name w:val="heading 1"/>
    <w:basedOn w:val="a"/>
    <w:link w:val="10"/>
    <w:uiPriority w:val="9"/>
    <w:qFormat/>
    <w:rsid w:val="00D9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0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6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796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  <w:div w:id="1731420153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  <w:div w:id="1834449037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2021-01-28T03:25:00Z</dcterms:created>
  <dcterms:modified xsi:type="dcterms:W3CDTF">2021-01-28T03:38:00Z</dcterms:modified>
</cp:coreProperties>
</file>